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PET/CT-DETERMINED PERFUSION AND CORONARY FLOW IN CLINICAL ROUTINE  </w:t>
      </w:r>
    </w:p>
    <w:p w:rsidR="00C55CE1" w:rsidRPr="00C55CE1" w:rsidRDefault="00C55CE1" w:rsidP="00C55CE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Cs w:val="20"/>
          <w:u w:val="single"/>
        </w:rPr>
      </w:pPr>
      <w:r w:rsidRPr="00C55CE1">
        <w:rPr>
          <w:rFonts w:asciiTheme="majorBidi" w:hAnsiTheme="majorBidi" w:cstheme="majorBidi"/>
          <w:b/>
          <w:bCs/>
          <w:szCs w:val="20"/>
          <w:u w:val="single"/>
        </w:rPr>
        <w:t>T</w:t>
      </w:r>
      <w:r w:rsidRPr="00C55CE1">
        <w:rPr>
          <w:rFonts w:asciiTheme="majorBidi" w:hAnsiTheme="majorBidi" w:cstheme="majorBidi"/>
          <w:b/>
          <w:bCs/>
          <w:szCs w:val="20"/>
          <w:u w:val="single"/>
        </w:rPr>
        <w:t>.</w:t>
      </w:r>
      <w:r w:rsidRPr="00C55CE1">
        <w:rPr>
          <w:rFonts w:asciiTheme="majorBidi" w:hAnsiTheme="majorBidi" w:cstheme="majorBidi"/>
          <w:b/>
          <w:bCs/>
          <w:szCs w:val="20"/>
          <w:u w:val="single"/>
        </w:rPr>
        <w:t>H. Schindler</w:t>
      </w:r>
    </w:p>
    <w:p w:rsidR="00B921ED" w:rsidRPr="00C55CE1" w:rsidRDefault="00C55CE1" w:rsidP="00C55CE1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C55CE1">
        <w:rPr>
          <w:rFonts w:asciiTheme="majorBidi" w:hAnsiTheme="majorBidi" w:cstheme="majorBidi"/>
          <w:szCs w:val="20"/>
        </w:rPr>
        <w:t>Johns Hopkins University, Baltimore, MD, USA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Positron emission tomography/computed tomography (PET/CT)-determined myocardial perfusion combined with myocardial blood flow (MBF) quantification in ml/g/min has evolved from research application to clinical application in the identification and characterization of </w:t>
      </w:r>
      <w:proofErr w:type="spellStart"/>
      <w:r>
        <w:t>multivessel</w:t>
      </w:r>
      <w:proofErr w:type="spellEnd"/>
      <w:r>
        <w:t xml:space="preserve"> coronary artery disease (CAD) process. Adding the assessment of hyperemic MBF increase during pharmacologic vasodilation and at rest with the resulting myocardial flow reserve (MFR = MBF during stress/MBF at rest) extends the scope of conventional myocardial perfusion imaging not only to the detection of the most advanced and culprit CAD, as signified by the stress-related regional myocardial perfusion </w:t>
      </w:r>
      <w:proofErr w:type="gramStart"/>
      <w:r>
        <w:t>deficit</w:t>
      </w:r>
      <w:proofErr w:type="gramEnd"/>
      <w:r>
        <w:t xml:space="preserve">, but also to the less severe or intermediate stenosis in patients with </w:t>
      </w:r>
      <w:proofErr w:type="spellStart"/>
      <w:r>
        <w:t>multivessel</w:t>
      </w:r>
      <w:proofErr w:type="spellEnd"/>
      <w:r>
        <w:t xml:space="preserve"> CAD. Due to the non-specific nature of the hyperemic MBF and MFR, however, the interpretation of hyperemic flow increases with PET/CT demands an appropriate interpretation in the context with microvascular function, wall motion analysis, and eventually underlying coronary morphology in CAD patients. Such diagnostic approach with cardiac PET/CT perfusion or flow measurements may emerge as pivotal tool to individualize and guide the decision-making process for coronary revascularization procedures in CAD patients in the near future that remains to be tested clinically.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C3" w:rsidRDefault="00CB4EC3" w:rsidP="00C55CE1">
      <w:r>
        <w:separator/>
      </w:r>
    </w:p>
  </w:endnote>
  <w:endnote w:type="continuationSeparator" w:id="0">
    <w:p w:rsidR="00CB4EC3" w:rsidRDefault="00CB4EC3" w:rsidP="00C5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C3" w:rsidRDefault="00CB4EC3" w:rsidP="00C55CE1">
      <w:r>
        <w:separator/>
      </w:r>
    </w:p>
  </w:footnote>
  <w:footnote w:type="continuationSeparator" w:id="0">
    <w:p w:rsidR="00CB4EC3" w:rsidRDefault="00CB4EC3" w:rsidP="00C5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E1" w:rsidRDefault="00C55CE1" w:rsidP="00C55CE1">
    <w:pPr>
      <w:pStyle w:val="Header"/>
    </w:pPr>
    <w:r>
      <w:t>3092</w:t>
    </w:r>
  </w:p>
  <w:p w:rsidR="00C55CE1" w:rsidRDefault="00C55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5317C"/>
    <w:rsid w:val="00447B2F"/>
    <w:rsid w:val="00B921ED"/>
    <w:rsid w:val="00C55CE1"/>
    <w:rsid w:val="00C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026F900-CF69-47A6-8760-70305D1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C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CE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2016-04-02T19:59:00Z</cp:lastPrinted>
  <dcterms:created xsi:type="dcterms:W3CDTF">2016-04-02T19:55:00Z</dcterms:created>
  <dcterms:modified xsi:type="dcterms:W3CDTF">2016-04-02T20:05:00Z</dcterms:modified>
</cp:coreProperties>
</file>